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РТС244Г190020</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28.10.2019</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РТС244Г190020</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03.10.2019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24.10.2019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25.10.2019</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28.10.2019 09:25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28.10.2019 09:45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977 440,00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972 552,80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28.10.2019 09:25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"ХАЙТЕК ПРОЕКТ"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4401153065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