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7E" w:rsidRPr="00B14759" w:rsidRDefault="00B52C7E" w:rsidP="00B52C7E">
      <w:pPr>
        <w:jc w:val="center"/>
        <w:rPr>
          <w:b/>
          <w:bCs/>
          <w:sz w:val="20"/>
          <w:szCs w:val="20"/>
        </w:rPr>
      </w:pPr>
      <w:r w:rsidRPr="00B14759">
        <w:rPr>
          <w:b/>
          <w:bCs/>
          <w:sz w:val="20"/>
          <w:szCs w:val="20"/>
        </w:rPr>
        <w:t xml:space="preserve">Перечень тарифов и услуг, </w:t>
      </w:r>
    </w:p>
    <w:p w:rsidR="00B52C7E" w:rsidRPr="00652EAE" w:rsidRDefault="00B52C7E" w:rsidP="00B52C7E">
      <w:pPr>
        <w:autoSpaceDE/>
        <w:autoSpaceDN/>
        <w:jc w:val="center"/>
        <w:rPr>
          <w:b/>
          <w:sz w:val="22"/>
          <w:szCs w:val="22"/>
          <w:lang w:eastAsia="en-US"/>
        </w:rPr>
      </w:pPr>
      <w:r w:rsidRPr="00652EAE">
        <w:rPr>
          <w:b/>
          <w:sz w:val="22"/>
          <w:szCs w:val="22"/>
          <w:lang w:eastAsia="en-US"/>
        </w:rPr>
        <w:t xml:space="preserve">оказываемых клиентам подразделений Северного банка ОАО «Сбербанк России» на территории </w:t>
      </w:r>
      <w:r>
        <w:rPr>
          <w:b/>
          <w:sz w:val="22"/>
          <w:szCs w:val="22"/>
          <w:lang w:eastAsia="en-US"/>
        </w:rPr>
        <w:t>Костромск</w:t>
      </w:r>
      <w:r w:rsidRPr="00652EAE">
        <w:rPr>
          <w:b/>
          <w:sz w:val="22"/>
          <w:szCs w:val="22"/>
          <w:lang w:eastAsia="en-US"/>
        </w:rPr>
        <w:t>ой области</w:t>
      </w:r>
    </w:p>
    <w:p w:rsidR="00B52C7E" w:rsidRDefault="00B52C7E" w:rsidP="00B52C7E">
      <w:pPr>
        <w:autoSpaceDE/>
        <w:autoSpaceDN/>
        <w:jc w:val="right"/>
        <w:rPr>
          <w:i/>
          <w:sz w:val="22"/>
          <w:szCs w:val="22"/>
          <w:lang w:eastAsia="en-US"/>
        </w:rPr>
      </w:pPr>
    </w:p>
    <w:p w:rsidR="00B52C7E" w:rsidRPr="00652EAE" w:rsidRDefault="00B52C7E" w:rsidP="00B52C7E">
      <w:pPr>
        <w:autoSpaceDE/>
        <w:autoSpaceDN/>
        <w:jc w:val="right"/>
        <w:rPr>
          <w:i/>
          <w:sz w:val="22"/>
          <w:szCs w:val="22"/>
          <w:lang w:eastAsia="en-US"/>
        </w:rPr>
      </w:pPr>
      <w:r w:rsidRPr="00652EAE">
        <w:rPr>
          <w:i/>
          <w:sz w:val="22"/>
          <w:szCs w:val="22"/>
          <w:lang w:eastAsia="en-US"/>
        </w:rPr>
        <w:t>действуют с 01.</w:t>
      </w:r>
      <w:r>
        <w:rPr>
          <w:i/>
          <w:sz w:val="22"/>
          <w:szCs w:val="22"/>
          <w:lang w:eastAsia="en-US"/>
        </w:rPr>
        <w:t>07</w:t>
      </w:r>
      <w:r w:rsidRPr="00652EAE">
        <w:rPr>
          <w:i/>
          <w:sz w:val="22"/>
          <w:szCs w:val="22"/>
          <w:lang w:eastAsia="en-US"/>
        </w:rPr>
        <w:t>.201</w:t>
      </w:r>
      <w:r>
        <w:rPr>
          <w:i/>
          <w:sz w:val="22"/>
          <w:szCs w:val="22"/>
          <w:lang w:eastAsia="en-US"/>
        </w:rPr>
        <w:t>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Стоимость услуги</w:t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РАСЧЕТНО-КАССОВОЕ ОБСЛУЖИВАНИЕ СЧЕТОВ В ВАЛЮТЕ РФ</w:t>
            </w:r>
            <w:r w:rsidRPr="00652EAE">
              <w:rPr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ОБСЛУЖИВАНИЕ СЧЕТА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Открытие счета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Ведение счета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652EAE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за исключением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счетов</w:t>
            </w:r>
            <w:r w:rsidRPr="00652EAE"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EA65B8">
              <w:rPr>
                <w:sz w:val="18"/>
                <w:szCs w:val="18"/>
                <w:lang w:eastAsia="en-US"/>
              </w:rPr>
              <w:t xml:space="preserve">▪ </w:t>
            </w:r>
            <w:proofErr w:type="spellStart"/>
            <w:proofErr w:type="gramStart"/>
            <w:r w:rsidRPr="00EA65B8">
              <w:rPr>
                <w:sz w:val="18"/>
                <w:szCs w:val="18"/>
                <w:lang w:eastAsia="en-US"/>
              </w:rPr>
              <w:t>обслуживающихся</w:t>
            </w:r>
            <w:proofErr w:type="spellEnd"/>
            <w:proofErr w:type="gramEnd"/>
            <w:r w:rsidRPr="00EA65B8">
              <w:rPr>
                <w:sz w:val="18"/>
                <w:szCs w:val="18"/>
                <w:lang w:eastAsia="en-US"/>
              </w:rPr>
              <w:t xml:space="preserve"> с использованием системы дистанционного банковского обслуживания</w:t>
            </w:r>
            <w:r>
              <w:rPr>
                <w:sz w:val="18"/>
                <w:szCs w:val="18"/>
                <w:lang w:eastAsia="en-US"/>
              </w:rPr>
              <w:t>*</w:t>
            </w:r>
            <w:r w:rsidRPr="00EA65B8">
              <w:rPr>
                <w:sz w:val="18"/>
                <w:szCs w:val="18"/>
                <w:lang w:eastAsia="en-US"/>
              </w:rPr>
              <w:tab/>
            </w:r>
            <w:r w:rsidRPr="00EA65B8">
              <w:rPr>
                <w:sz w:val="18"/>
                <w:szCs w:val="18"/>
                <w:lang w:eastAsia="en-US"/>
              </w:rPr>
              <w:tab/>
            </w:r>
            <w:r w:rsidRPr="00EA65B8">
              <w:rPr>
                <w:sz w:val="18"/>
                <w:szCs w:val="18"/>
                <w:lang w:eastAsia="en-US"/>
              </w:rPr>
              <w:tab/>
            </w:r>
            <w:r w:rsidRPr="00EA65B8">
              <w:rPr>
                <w:sz w:val="18"/>
                <w:szCs w:val="18"/>
                <w:lang w:eastAsia="en-US"/>
              </w:rPr>
              <w:tab/>
            </w:r>
            <w:r w:rsidRPr="00EA65B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8B4850">
              <w:rPr>
                <w:sz w:val="16"/>
                <w:szCs w:val="16"/>
                <w:lang w:eastAsia="en-US"/>
              </w:rPr>
              <w:t>[*]</w:t>
            </w:r>
            <w:r w:rsidRPr="00EA65B8">
              <w:rPr>
                <w:sz w:val="22"/>
                <w:szCs w:val="22"/>
                <w:lang w:eastAsia="en-US"/>
              </w:rPr>
              <w:t xml:space="preserve"> </w:t>
            </w:r>
            <w:r w:rsidRPr="00EA65B8">
              <w:rPr>
                <w:sz w:val="16"/>
                <w:szCs w:val="16"/>
                <w:lang w:eastAsia="en-US"/>
              </w:rPr>
              <w:t>Система ДБО</w:t>
            </w:r>
            <w:proofErr w:type="gramStart"/>
            <w:r w:rsidRPr="00EA65B8">
              <w:rPr>
                <w:sz w:val="16"/>
                <w:szCs w:val="16"/>
                <w:lang w:eastAsia="en-US"/>
              </w:rPr>
              <w:t xml:space="preserve"> -- </w:t>
            </w:r>
            <w:proofErr w:type="gramEnd"/>
            <w:r w:rsidRPr="00EA65B8">
              <w:rPr>
                <w:sz w:val="16"/>
                <w:szCs w:val="16"/>
                <w:lang w:eastAsia="en-US"/>
              </w:rPr>
              <w:t xml:space="preserve">система дистанционного банковского обслуживания, под которой понимаются: АС "Клиент-Сбербанк", "Сбербанк Бизнес </w:t>
            </w:r>
            <w:proofErr w:type="spellStart"/>
            <w:r w:rsidRPr="00EA65B8">
              <w:rPr>
                <w:sz w:val="16"/>
                <w:szCs w:val="16"/>
                <w:lang w:eastAsia="en-US"/>
              </w:rPr>
              <w:t>Онл@йн</w:t>
            </w:r>
            <w:proofErr w:type="spellEnd"/>
            <w:r w:rsidRPr="00EA65B8">
              <w:rPr>
                <w:sz w:val="16"/>
                <w:szCs w:val="16"/>
                <w:lang w:eastAsia="en-US"/>
              </w:rPr>
              <w:t xml:space="preserve">", СПЭД, "Фактура", "Сбербанк Бизнес". Данный тариф также распространяется на счета, подключенные к услуге расчетно-кассового обслуживания с использованием АС "Сбербанк </w:t>
            </w:r>
            <w:proofErr w:type="spellStart"/>
            <w:r w:rsidRPr="00EA65B8">
              <w:rPr>
                <w:sz w:val="16"/>
                <w:szCs w:val="16"/>
                <w:lang w:eastAsia="en-US"/>
              </w:rPr>
              <w:t>Корпор@ция</w:t>
            </w:r>
            <w:proofErr w:type="spellEnd"/>
            <w:r w:rsidRPr="00EA65B8">
              <w:rPr>
                <w:sz w:val="16"/>
                <w:szCs w:val="16"/>
                <w:lang w:eastAsia="en-US"/>
              </w:rPr>
              <w:t>"</w:t>
            </w:r>
            <w:r w:rsidRPr="00EA65B8">
              <w:rPr>
                <w:sz w:val="16"/>
                <w:szCs w:val="16"/>
                <w:lang w:eastAsia="en-US"/>
              </w:rPr>
              <w:tab/>
            </w:r>
            <w:r w:rsidRPr="00EA65B8">
              <w:rPr>
                <w:sz w:val="22"/>
                <w:szCs w:val="22"/>
                <w:lang w:eastAsia="en-US"/>
              </w:rPr>
              <w:tab/>
            </w:r>
            <w:r w:rsidRPr="00EA65B8">
              <w:rPr>
                <w:sz w:val="22"/>
                <w:szCs w:val="22"/>
                <w:lang w:eastAsia="en-US"/>
              </w:rPr>
              <w:tab/>
            </w:r>
            <w:r w:rsidRPr="00EA65B8">
              <w:rPr>
                <w:sz w:val="22"/>
                <w:szCs w:val="22"/>
                <w:lang w:eastAsia="en-US"/>
              </w:rPr>
              <w:tab/>
            </w:r>
            <w:r w:rsidRPr="00EA65B8">
              <w:rPr>
                <w:sz w:val="22"/>
                <w:szCs w:val="22"/>
                <w:lang w:eastAsia="en-US"/>
              </w:rPr>
              <w:tab/>
            </w:r>
            <w:r w:rsidRPr="00EA65B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Переоформление документов в связи с изменением реквизитов клиента (внесение изменений в юридическое дело)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652EAE">
              <w:rPr>
                <w:sz w:val="18"/>
                <w:szCs w:val="18"/>
                <w:lang w:eastAsia="en-US"/>
              </w:rPr>
              <w:t>0 руб.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Предоставление выписки о текущих операциях по счету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Выдача клиенту дубликатов выписок, справок и других документов банка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Предоставление справок об операциях по счету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Распечатка картотеки по счету клиента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BC4130">
              <w:rPr>
                <w:sz w:val="18"/>
                <w:szCs w:val="18"/>
                <w:lang w:eastAsia="en-US"/>
              </w:rPr>
              <w:t>Направление запросов по просьбе клиента относительно реквизитов платежных документов по поступившим средствам, изменения реквизитов по ранее отправленным платежным поручениям, розыс</w:t>
            </w:r>
            <w:r>
              <w:rPr>
                <w:sz w:val="18"/>
                <w:szCs w:val="18"/>
                <w:lang w:eastAsia="en-US"/>
              </w:rPr>
              <w:t xml:space="preserve">ка ожидаемых и отправленных </w:t>
            </w:r>
            <w:r w:rsidRPr="00BC4130">
              <w:rPr>
                <w:sz w:val="18"/>
                <w:szCs w:val="18"/>
                <w:lang w:eastAsia="en-US"/>
              </w:rPr>
              <w:t>сумм</w:t>
            </w:r>
            <w:r w:rsidRPr="00BC4130">
              <w:rPr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BC4130">
              <w:rPr>
                <w:sz w:val="18"/>
                <w:szCs w:val="18"/>
                <w:lang w:eastAsia="en-US"/>
              </w:rPr>
              <w:t>отмена перевода по заявлению клиента</w:t>
            </w:r>
            <w:r w:rsidRPr="00BC4130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100 руб. за запрос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Закрытие счета по заявлению клиента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БЕЗНАЛИЧНЫЕ ОПЕРАЦИИ ПО СЧЕТУ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Зачисление средств на счет клиента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Перечисление средств со счета: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налоговых и приравненных к ним платежей в бюджет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в пользу таможенных органов) и внебюджетные фонды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по инкассовому поручению, оплачиваемому без распоряжения клиента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по расчетным документам, помещенным в картотеку к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внебалансовому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счету №90902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              иных платежей: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через расчетную систему Банка России или расчетную систему Сбербанка России на счет в другой кредитной организации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lastRenderedPageBreak/>
              <w:t xml:space="preserve">             - для клиентов, использующих электронный документооборот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6"/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2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через расчетную систему Сбербанка России на счет в структурное подразделение Сбербанка России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7"/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             - для клиентов, использующих электронный документооборот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8"/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постановка 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>расчетных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документов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9"/>
            </w:r>
            <w:r w:rsidRPr="00652EAE">
              <w:rPr>
                <w:sz w:val="18"/>
                <w:szCs w:val="18"/>
                <w:lang w:eastAsia="en-US"/>
              </w:rPr>
              <w:t xml:space="preserve"> в картотеку к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внебалансовому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счету №90902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              за исключением: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ind w:left="1066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расчетных документов по налоговым и приравненным к ним платежам в бюджет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в пользу таможенных органов) и внебюджетные фонды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ind w:left="1066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инкассовых поручений, оплачиваемых без распоряжения клиента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ind w:left="1066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платежных требований и 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>других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расчетных документов на оплату комиссионного вознаграждения за услуги, оказанные Сбербанком России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Перечисление остатка сре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>дств пр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>и закрытии счета в другую кредитную организацию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Перечисление остатка сре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>дств пр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>и закрытии счета в другое структурное подразделение Сбербанка России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Прием на инкассо платежных требований, инкассовых поручений в рублях*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EE1BEC" w:rsidRDefault="00B52C7E" w:rsidP="002B46BF">
            <w:pPr>
              <w:jc w:val="center"/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*</w:t>
            </w:r>
            <w:r w:rsidRPr="00652EAE">
              <w:rPr>
                <w:i/>
                <w:sz w:val="18"/>
                <w:szCs w:val="18"/>
                <w:lang w:eastAsia="en-US"/>
              </w:rPr>
              <w:t>без учета фактических почтовых и прочих расходов, связанных с доставкой принятых на инкассо документов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EE1BEC" w:rsidRDefault="00B52C7E" w:rsidP="002B46BF">
            <w:pPr>
              <w:jc w:val="center"/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Уточнение и/или изменение условий, отмена перевода по заявлению клиента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jc w:val="center"/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КАССОВОЕ ОБСЛУЖИВАНИЕ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Прием наличных денежных средств на счет: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по объявлению на взнос наличными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EE1BEC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Выдача наличных денежных средств со счета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при закрытии счета):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на заработную плату и выплаты социального характера (кроме индивидуальных предпринимателей):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,5</w:t>
            </w:r>
            <w:r w:rsidRPr="00652EAE">
              <w:rPr>
                <w:sz w:val="18"/>
                <w:szCs w:val="18"/>
                <w:lang w:eastAsia="en-US"/>
              </w:rPr>
              <w:t>% от суммы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1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прочие выплаты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652EAE">
              <w:rPr>
                <w:sz w:val="18"/>
                <w:szCs w:val="18"/>
                <w:lang w:eastAsia="en-US"/>
              </w:rPr>
              <w:t>% от суммы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Выдача оформленной чековой книжки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652EAE">
              <w:rPr>
                <w:sz w:val="18"/>
                <w:szCs w:val="18"/>
                <w:lang w:eastAsia="en-US"/>
              </w:rPr>
              <w:t xml:space="preserve">0 руб.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НДС)  за одну книжку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Обмен ветхих банкнот и дефектной монеты Банка России 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>на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годные к обращению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Прием денежных знаков Банка Росси, вызывающих сомнение в их подлинности (платежеспособности), для направления на экспертизу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ИСПОЛНЕНИЕ ФУНКЦИЙ АГЕНТА ВАЛЮТНОГО КОНТРОЛЯ</w:t>
            </w: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1"/>
            </w:r>
          </w:p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(стоимость услуг отражена с НДС)</w:t>
            </w:r>
          </w:p>
        </w:tc>
      </w:tr>
      <w:tr w:rsidR="00B52C7E" w:rsidRPr="00652EAE" w:rsidTr="002B46BF">
        <w:tc>
          <w:tcPr>
            <w:tcW w:w="6062" w:type="dxa"/>
            <w:tcBorders>
              <w:righ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b/>
                <w:sz w:val="18"/>
                <w:szCs w:val="18"/>
                <w:lang w:eastAsia="en-US"/>
              </w:rPr>
            </w:pPr>
            <w:r w:rsidRPr="00652EAE">
              <w:rPr>
                <w:b/>
                <w:sz w:val="18"/>
                <w:szCs w:val="18"/>
                <w:lang w:eastAsia="en-US"/>
              </w:rPr>
              <w:t>Исполнение функций агента валютного контроля по операциям:</w:t>
            </w:r>
          </w:p>
        </w:tc>
        <w:tc>
          <w:tcPr>
            <w:tcW w:w="4252" w:type="dxa"/>
            <w:tcBorders>
              <w:lef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перевода иностранной валюты (валюты РФ) со счета резидента: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ind w:left="1775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на счет нерезидента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2"/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0,15% от суммы перевода,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  <w:proofErr w:type="gramStart"/>
            <w:r w:rsidRPr="00652EAE">
              <w:rPr>
                <w:sz w:val="18"/>
                <w:szCs w:val="18"/>
                <w:lang w:val="en-US" w:eastAsia="en-US"/>
              </w:rPr>
              <w:t>min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3 долл. США/евро,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либо 11,8% от суммы перевода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3"/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ind w:left="1775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lastRenderedPageBreak/>
              <w:t>на счет того же резидента, открытый в банке за пределами территории Российской Федерации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0,15% от суммы перевода,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min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3 долл. США/евро,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либо 11,8% от суммы перевода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4"/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зачисления валюты РФ на счет резидента, поступившей от нерезидента: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по контракту (договору), требующему оформления Паспорта сделки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0,15% от суммы зачисления,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min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3 долл. США/евро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по сделкам, не требующим оформления Паспорта сделки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перевода валюты РФ нерезидентом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0,05% от суммы перевода, 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52EAE">
              <w:rPr>
                <w:sz w:val="18"/>
                <w:szCs w:val="18"/>
                <w:lang w:val="en-US" w:eastAsia="en-US"/>
              </w:rPr>
              <w:t>min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652EAE">
              <w:rPr>
                <w:sz w:val="18"/>
                <w:szCs w:val="18"/>
                <w:lang w:eastAsia="en-US"/>
              </w:rPr>
              <w:t>00 руб.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FE26F2">
              <w:rPr>
                <w:sz w:val="18"/>
                <w:szCs w:val="18"/>
                <w:lang w:eastAsia="en-US"/>
              </w:rPr>
              <w:t>перевода иностранной валюты со счета резидента на счет другого резидента, в том числе открытый в банке за пределами те</w:t>
            </w:r>
            <w:r>
              <w:rPr>
                <w:sz w:val="18"/>
                <w:szCs w:val="18"/>
                <w:lang w:eastAsia="en-US"/>
              </w:rPr>
              <w:t>рритории Российской Федерации</w:t>
            </w:r>
          </w:p>
        </w:tc>
        <w:tc>
          <w:tcPr>
            <w:tcW w:w="4252" w:type="dxa"/>
          </w:tcPr>
          <w:p w:rsidR="00B52C7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0,15% от суммы </w:t>
            </w:r>
            <w:r>
              <w:rPr>
                <w:sz w:val="18"/>
                <w:szCs w:val="18"/>
                <w:lang w:eastAsia="en-US"/>
              </w:rPr>
              <w:t>перевода</w:t>
            </w:r>
            <w:r w:rsidRPr="00652EAE">
              <w:rPr>
                <w:sz w:val="18"/>
                <w:szCs w:val="18"/>
                <w:lang w:eastAsia="en-US"/>
              </w:rPr>
              <w:t>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min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3 долл. США/евро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FE26F2">
              <w:rPr>
                <w:sz w:val="18"/>
                <w:szCs w:val="18"/>
                <w:lang w:eastAsia="en-US"/>
              </w:rPr>
              <w:t>зачисления иностранной валюты на счет резидента со счета другого резидента, в том числе открытого в банке за пределами территории Российской Федерации</w:t>
            </w:r>
          </w:p>
        </w:tc>
        <w:tc>
          <w:tcPr>
            <w:tcW w:w="4252" w:type="dxa"/>
          </w:tcPr>
          <w:p w:rsidR="00B52C7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0,15% от суммы зачисления,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min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3 долл. США/евро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08"/>
              <w:jc w:val="both"/>
              <w:rPr>
                <w:sz w:val="18"/>
                <w:szCs w:val="18"/>
                <w:lang w:eastAsia="en-US"/>
              </w:rPr>
            </w:pPr>
            <w:r w:rsidRPr="00FE26F2">
              <w:rPr>
                <w:sz w:val="18"/>
                <w:szCs w:val="18"/>
                <w:lang w:eastAsia="en-US"/>
              </w:rPr>
              <w:t>перевода валюты Российской Федерации со счета резидента, открытого на территории Российской Федерации, на счет другого резидента, открытый за пределами территории Российской Федерации</w:t>
            </w:r>
          </w:p>
        </w:tc>
        <w:tc>
          <w:tcPr>
            <w:tcW w:w="4252" w:type="dxa"/>
          </w:tcPr>
          <w:p w:rsidR="00B52C7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0,15% от суммы </w:t>
            </w:r>
            <w:r>
              <w:rPr>
                <w:sz w:val="18"/>
                <w:szCs w:val="18"/>
                <w:lang w:eastAsia="en-US"/>
              </w:rPr>
              <w:t>перевода</w:t>
            </w:r>
            <w:r w:rsidRPr="00652EAE">
              <w:rPr>
                <w:sz w:val="18"/>
                <w:szCs w:val="18"/>
                <w:lang w:eastAsia="en-US"/>
              </w:rPr>
              <w:t>,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min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 xml:space="preserve"> 3 долл. США/евро</w:t>
            </w:r>
          </w:p>
        </w:tc>
      </w:tr>
      <w:tr w:rsidR="00B52C7E" w:rsidRPr="00652EAE" w:rsidTr="002B46BF">
        <w:tc>
          <w:tcPr>
            <w:tcW w:w="6062" w:type="dxa"/>
            <w:tcBorders>
              <w:righ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b/>
                <w:sz w:val="18"/>
                <w:szCs w:val="18"/>
                <w:lang w:eastAsia="en-US"/>
              </w:rPr>
            </w:pPr>
            <w:r w:rsidRPr="00652EAE">
              <w:rPr>
                <w:b/>
                <w:sz w:val="18"/>
                <w:szCs w:val="18"/>
                <w:lang w:eastAsia="en-US"/>
              </w:rPr>
              <w:t>Услуги, связанные с исполнением функций агента валютного контроля</w:t>
            </w:r>
          </w:p>
        </w:tc>
        <w:tc>
          <w:tcPr>
            <w:tcW w:w="4252" w:type="dxa"/>
            <w:tcBorders>
              <w:lef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righ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Услуги по Паспорту сделки:</w:t>
            </w:r>
          </w:p>
        </w:tc>
        <w:tc>
          <w:tcPr>
            <w:tcW w:w="4252" w:type="dxa"/>
            <w:tcBorders>
              <w:lef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Закрытие Паспорта сделки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ind w:left="714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при отсутствии операций и Справок о подтверждающих документах по Паспорту сделки на дату закрытия Паспорта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10 долл. США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B52C7E">
            <w:pPr>
              <w:numPr>
                <w:ilvl w:val="0"/>
                <w:numId w:val="3"/>
              </w:numPr>
              <w:autoSpaceDE/>
              <w:autoSpaceDN/>
              <w:spacing w:after="120"/>
              <w:ind w:left="714" w:hanging="357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при наличии в Ведомости банковского контроля неоплаченных документов, подтверждающих отгрузку/поставку товаров, выполнение работ, оказание услуг, передачу информации и результатов интеллектуальной деятельности, в том числе исключительных прав на них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0,15% от суммы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20"/>
            </w:r>
            <w:r w:rsidRPr="00652EAE">
              <w:rPr>
                <w:sz w:val="18"/>
                <w:szCs w:val="18"/>
                <w:lang w:eastAsia="en-US"/>
              </w:rPr>
              <w:t xml:space="preserve">, </w:t>
            </w:r>
          </w:p>
          <w:p w:rsidR="00B52C7E" w:rsidRPr="00652EAE" w:rsidRDefault="00B52C7E" w:rsidP="002B46BF">
            <w:pPr>
              <w:autoSpaceDE/>
              <w:autoSpaceDN/>
              <w:ind w:left="7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52EAE">
              <w:rPr>
                <w:sz w:val="18"/>
                <w:szCs w:val="18"/>
                <w:lang w:val="en-US" w:eastAsia="en-US"/>
              </w:rPr>
              <w:t>min</w:t>
            </w:r>
            <w:proofErr w:type="gramEnd"/>
            <w:r w:rsidRPr="00652EAE">
              <w:rPr>
                <w:sz w:val="18"/>
                <w:szCs w:val="18"/>
                <w:lang w:eastAsia="en-US"/>
              </w:rPr>
              <w:t xml:space="preserve"> 10 долл. США/евро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Оформление документов по заявлению клиента о закрытии Паспорта сделки при переводе контракта (кредитного договора) на обслуживание в другой уполномоченный банк</w:t>
            </w:r>
            <w:r w:rsidRPr="00652EAE">
              <w:rPr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  <w:r w:rsidRPr="00652EAE">
              <w:rPr>
                <w:sz w:val="18"/>
                <w:szCs w:val="18"/>
                <w:lang w:eastAsia="en-US"/>
              </w:rPr>
              <w:t xml:space="preserve"> долл. США</w:t>
            </w:r>
          </w:p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 по одному Паспорту сделки</w:t>
            </w:r>
          </w:p>
        </w:tc>
      </w:tr>
      <w:tr w:rsidR="00B52C7E" w:rsidRPr="00652EAE" w:rsidTr="002B46BF">
        <w:tc>
          <w:tcPr>
            <w:tcW w:w="6062" w:type="dxa"/>
            <w:tcBorders>
              <w:righ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b/>
                <w:sz w:val="18"/>
                <w:szCs w:val="18"/>
                <w:lang w:eastAsia="en-US"/>
              </w:rPr>
            </w:pPr>
            <w:r w:rsidRPr="00652EAE">
              <w:rPr>
                <w:b/>
                <w:sz w:val="18"/>
                <w:szCs w:val="18"/>
                <w:lang w:eastAsia="en-US"/>
              </w:rPr>
              <w:t>Прочие услуги</w:t>
            </w:r>
          </w:p>
        </w:tc>
        <w:tc>
          <w:tcPr>
            <w:tcW w:w="4252" w:type="dxa"/>
            <w:tcBorders>
              <w:left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Выдача на основании заявления клиента Ведомости банковского контроля, Паспорта сделки, копий документов, помещенных в Досье валютного контроля, и справок по операциям и/или соответствующем Досье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5 долл. США за один экземпляр документа или справки/одну копию документа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Внесение изменений в Ведомость банковского контроля на основании представленной корректирующей Справки о валютных операциях или </w:t>
            </w:r>
            <w:r w:rsidRPr="00652EAE">
              <w:rPr>
                <w:sz w:val="18"/>
                <w:szCs w:val="18"/>
                <w:lang w:eastAsia="en-US"/>
              </w:rPr>
              <w:lastRenderedPageBreak/>
              <w:t>корректирующей Справки о подтверждающих документа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lastRenderedPageBreak/>
              <w:t xml:space="preserve">10 долл. США за внесение изменений в одну строку Ведомости банковского </w:t>
            </w:r>
            <w:r w:rsidRPr="00652EAE">
              <w:rPr>
                <w:sz w:val="18"/>
                <w:szCs w:val="18"/>
                <w:lang w:eastAsia="en-US"/>
              </w:rPr>
              <w:lastRenderedPageBreak/>
              <w:t>контроля</w:t>
            </w:r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b/>
                <w:sz w:val="18"/>
                <w:szCs w:val="18"/>
                <w:lang w:eastAsia="en-US"/>
              </w:rPr>
            </w:pPr>
            <w:r w:rsidRPr="00652EAE">
              <w:rPr>
                <w:b/>
                <w:sz w:val="18"/>
                <w:szCs w:val="18"/>
                <w:lang w:eastAsia="en-US"/>
              </w:rPr>
              <w:lastRenderedPageBreak/>
              <w:t>Консалтинговые услуги по обслуживанию внешнеэкономической деятельности и валютному контролю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b/>
                <w:sz w:val="18"/>
                <w:szCs w:val="18"/>
                <w:lang w:eastAsia="en-US"/>
              </w:rPr>
            </w:pPr>
            <w:r w:rsidRPr="00652EAE">
              <w:rPr>
                <w:b/>
                <w:sz w:val="18"/>
                <w:szCs w:val="18"/>
                <w:lang w:eastAsia="en-US"/>
              </w:rPr>
              <w:t>Услуги по Паспорту сделки: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Оказание услуги по оформлению Паспорта сделки по письменному заявлению клиента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17 долл. США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Оказание услуги по оформлению Справки о валютных операциях, Справки о подтверждающих документах по письменному заявлению клиента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1 долл. США за каждую отраженную в справке операцию (подтверждающий документ), но не менее 5 долл. США за одну Справку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Проведение экспертизы контрактов на соответствие валютному законодательству РФ, консультации по их разработке</w:t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1 300 руб. за один контракт</w:t>
            </w:r>
            <w:r w:rsidRPr="006B7828">
              <w:rPr>
                <w:sz w:val="18"/>
                <w:szCs w:val="18"/>
                <w:lang w:eastAsia="en-US"/>
              </w:rPr>
              <w:tab/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Консультации по вопросам применения валютного законодательства РФ и проведения валютных операций</w:t>
            </w:r>
            <w:r w:rsidRPr="006B7828">
              <w:rPr>
                <w:sz w:val="18"/>
                <w:szCs w:val="18"/>
                <w:lang w:eastAsia="en-US"/>
              </w:rPr>
              <w:tab/>
            </w:r>
            <w:r w:rsidRPr="006B7828">
              <w:rPr>
                <w:sz w:val="18"/>
                <w:szCs w:val="18"/>
                <w:lang w:eastAsia="en-US"/>
              </w:rPr>
              <w:tab/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500 руб. за одну консультацию</w:t>
            </w:r>
            <w:r w:rsidRPr="006B7828">
              <w:rPr>
                <w:sz w:val="18"/>
                <w:szCs w:val="18"/>
                <w:lang w:eastAsia="en-US"/>
              </w:rPr>
              <w:tab/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Проведение семинаров по вопросам применения валют</w:t>
            </w:r>
            <w:r>
              <w:rPr>
                <w:sz w:val="18"/>
                <w:szCs w:val="18"/>
                <w:lang w:eastAsia="en-US"/>
              </w:rPr>
              <w:t>ного законодательства РФ: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B52C7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6B7828">
              <w:rPr>
                <w:sz w:val="18"/>
                <w:szCs w:val="18"/>
                <w:lang w:eastAsia="en-US"/>
              </w:rPr>
              <w:t xml:space="preserve"> за семинар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Pr="006B7828">
              <w:rPr>
                <w:sz w:val="18"/>
                <w:szCs w:val="18"/>
                <w:lang w:eastAsia="en-US"/>
              </w:rPr>
              <w:t>При условии участия не менее 3 организаций</w:t>
            </w:r>
            <w:r>
              <w:rPr>
                <w:sz w:val="18"/>
                <w:szCs w:val="18"/>
                <w:lang w:eastAsia="en-US"/>
              </w:rPr>
              <w:t>)</w:t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  <w:p w:rsidR="00B52C7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</w:p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B7828">
              <w:rPr>
                <w:sz w:val="18"/>
                <w:szCs w:val="18"/>
                <w:lang w:eastAsia="en-US"/>
              </w:rPr>
              <w:t>- за индивидуальный семинар</w:t>
            </w:r>
            <w:r w:rsidRPr="006B782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4252" w:type="dxa"/>
          </w:tcPr>
          <w:p w:rsidR="00B52C7E" w:rsidRDefault="00B52C7E" w:rsidP="002B46BF">
            <w:pPr>
              <w:autoSpaceDE/>
              <w:autoSpaceDN/>
              <w:spacing w:after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</w:p>
          <w:p w:rsidR="00B52C7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</w:t>
            </w:r>
            <w:proofErr w:type="gramStart"/>
            <w:r w:rsidRPr="006B7828">
              <w:rPr>
                <w:sz w:val="18"/>
                <w:szCs w:val="18"/>
                <w:lang w:eastAsia="en-US"/>
              </w:rPr>
              <w:t>900 руб. за час</w:t>
            </w:r>
            <w:r>
              <w:rPr>
                <w:sz w:val="18"/>
                <w:szCs w:val="18"/>
                <w:lang w:eastAsia="en-US"/>
              </w:rPr>
              <w:t xml:space="preserve"> (з</w:t>
            </w:r>
            <w:r w:rsidRPr="006B7828">
              <w:rPr>
                <w:sz w:val="18"/>
                <w:szCs w:val="18"/>
                <w:lang w:eastAsia="en-US"/>
              </w:rPr>
              <w:t>а каждый час семинара с одной организации.</w:t>
            </w:r>
            <w:proofErr w:type="gramEnd"/>
            <w:r w:rsidRPr="006B7828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B7828">
              <w:rPr>
                <w:sz w:val="18"/>
                <w:szCs w:val="18"/>
                <w:lang w:eastAsia="en-US"/>
              </w:rPr>
              <w:t>Под одним часом понимается астрономический час - 60 мин.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ab/>
            </w:r>
            <w:proofErr w:type="gramEnd"/>
          </w:p>
          <w:p w:rsidR="00B52C7E" w:rsidRPr="00652EAE" w:rsidRDefault="00B52C7E" w:rsidP="002B46BF">
            <w:pPr>
              <w:autoSpaceDE/>
              <w:autoSpaceDN/>
              <w:spacing w:after="12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B7828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600 руб. за час (з</w:t>
            </w:r>
            <w:r w:rsidRPr="00701E39">
              <w:rPr>
                <w:sz w:val="18"/>
                <w:szCs w:val="18"/>
                <w:lang w:eastAsia="en-US"/>
              </w:rPr>
              <w:t>а каждый час семинара.</w:t>
            </w:r>
            <w:proofErr w:type="gramEnd"/>
            <w:r w:rsidRPr="00701E3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01E39">
              <w:rPr>
                <w:sz w:val="18"/>
                <w:szCs w:val="18"/>
                <w:lang w:eastAsia="en-US"/>
              </w:rPr>
              <w:t>Под одним часом понимается астрономический час - 60 мин.</w:t>
            </w:r>
            <w:r>
              <w:rPr>
                <w:sz w:val="18"/>
                <w:szCs w:val="18"/>
                <w:lang w:eastAsia="en-US"/>
              </w:rPr>
              <w:t>)</w:t>
            </w:r>
            <w:r w:rsidRPr="00701E39">
              <w:rPr>
                <w:sz w:val="18"/>
                <w:szCs w:val="18"/>
                <w:lang w:eastAsia="en-US"/>
              </w:rPr>
              <w:tab/>
            </w:r>
            <w:proofErr w:type="gramEnd"/>
          </w:p>
        </w:tc>
      </w:tr>
      <w:tr w:rsidR="00B52C7E" w:rsidRPr="00652EAE" w:rsidTr="002B46BF">
        <w:tc>
          <w:tcPr>
            <w:tcW w:w="10314" w:type="dxa"/>
            <w:gridSpan w:val="2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EAE">
              <w:rPr>
                <w:b/>
                <w:sz w:val="22"/>
                <w:szCs w:val="22"/>
                <w:lang w:eastAsia="en-US"/>
              </w:rPr>
              <w:t>ПРОЧИЕ УСЛУГИ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Оформление карточки с образцами подписей и оттиска печати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F438D2">
              <w:rPr>
                <w:sz w:val="18"/>
                <w:szCs w:val="18"/>
                <w:lang w:eastAsia="en-US"/>
              </w:rPr>
              <w:t xml:space="preserve">Изготовление и </w:t>
            </w:r>
            <w:proofErr w:type="gramStart"/>
            <w:r w:rsidRPr="00F438D2">
              <w:rPr>
                <w:sz w:val="18"/>
                <w:szCs w:val="18"/>
                <w:lang w:eastAsia="en-US"/>
              </w:rPr>
              <w:t>заверение копий</w:t>
            </w:r>
            <w:proofErr w:type="gramEnd"/>
            <w:r w:rsidRPr="00F438D2">
              <w:rPr>
                <w:sz w:val="18"/>
                <w:szCs w:val="18"/>
                <w:lang w:eastAsia="en-US"/>
              </w:rPr>
              <w:t xml:space="preserve"> документов, предоставляемых клиентом для открытия и ведения банковского счета, а также для исполнения функций валютного контроля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Предоставление Справочника банковских идентификационных кодов Сбербанка России и его филиалов (СБИК) по запросу юридических лиц</w:t>
            </w:r>
          </w:p>
        </w:tc>
        <w:tc>
          <w:tcPr>
            <w:tcW w:w="4252" w:type="dxa"/>
            <w:tcBorders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52C7E" w:rsidRPr="00652EAE" w:rsidTr="002B46BF">
        <w:tc>
          <w:tcPr>
            <w:tcW w:w="606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- в электронном виде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50 руб.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НДС) за запрос</w:t>
            </w:r>
          </w:p>
        </w:tc>
      </w:tr>
      <w:tr w:rsidR="00B52C7E" w:rsidRPr="00652EAE" w:rsidTr="002B46BF">
        <w:tc>
          <w:tcPr>
            <w:tcW w:w="606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- на бумажном носителе</w:t>
            </w:r>
          </w:p>
        </w:tc>
        <w:tc>
          <w:tcPr>
            <w:tcW w:w="4252" w:type="dxa"/>
            <w:tcBorders>
              <w:top w:val="nil"/>
            </w:tcBorders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160 руб. (в </w:t>
            </w:r>
            <w:proofErr w:type="spellStart"/>
            <w:r w:rsidRPr="00652EAE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НДС)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Снятие ксерокопий с документов клиента в рамках оказания услуг клиенту</w:t>
            </w:r>
          </w:p>
        </w:tc>
        <w:tc>
          <w:tcPr>
            <w:tcW w:w="4252" w:type="dxa"/>
          </w:tcPr>
          <w:p w:rsidR="00B52C7E" w:rsidRPr="00EE1BEC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EE1BEC">
              <w:rPr>
                <w:sz w:val="18"/>
                <w:szCs w:val="18"/>
                <w:lang w:eastAsia="en-US"/>
              </w:rPr>
              <w:t>бесплатно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652EAE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>Предоставление иных справок по запросу клиента (организаций, уполномоченных клиентом)</w:t>
            </w:r>
          </w:p>
        </w:tc>
        <w:tc>
          <w:tcPr>
            <w:tcW w:w="4252" w:type="dxa"/>
          </w:tcPr>
          <w:p w:rsidR="00B52C7E" w:rsidRPr="00652EAE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 w:rsidRPr="00652EAE">
              <w:rPr>
                <w:sz w:val="18"/>
                <w:szCs w:val="18"/>
                <w:lang w:eastAsia="en-US"/>
              </w:rPr>
              <w:t xml:space="preserve">100 руб. </w:t>
            </w:r>
            <w:proofErr w:type="gramStart"/>
            <w:r w:rsidRPr="00652EAE">
              <w:rPr>
                <w:sz w:val="18"/>
                <w:szCs w:val="18"/>
                <w:lang w:eastAsia="en-US"/>
              </w:rPr>
              <w:t xml:space="preserve">( </w:t>
            </w:r>
            <w:proofErr w:type="spellStart"/>
            <w:proofErr w:type="gramEnd"/>
            <w:r w:rsidRPr="00652EAE">
              <w:rPr>
                <w:sz w:val="18"/>
                <w:szCs w:val="18"/>
                <w:lang w:eastAsia="en-US"/>
              </w:rPr>
              <w:t>вт.ч</w:t>
            </w:r>
            <w:proofErr w:type="spellEnd"/>
            <w:r w:rsidRPr="00652EAE">
              <w:rPr>
                <w:sz w:val="18"/>
                <w:szCs w:val="18"/>
                <w:lang w:eastAsia="en-US"/>
              </w:rPr>
              <w:t>. НДС) за лист</w:t>
            </w:r>
          </w:p>
        </w:tc>
      </w:tr>
      <w:tr w:rsidR="00B52C7E" w:rsidRPr="00652EAE" w:rsidTr="002B46BF">
        <w:tc>
          <w:tcPr>
            <w:tcW w:w="6062" w:type="dxa"/>
          </w:tcPr>
          <w:p w:rsidR="00B52C7E" w:rsidRPr="00701E39" w:rsidRDefault="00B52C7E" w:rsidP="002B46BF">
            <w:pPr>
              <w:autoSpaceDE/>
              <w:autoSpaceDN/>
              <w:spacing w:after="120"/>
              <w:jc w:val="both"/>
              <w:rPr>
                <w:sz w:val="18"/>
                <w:szCs w:val="18"/>
                <w:lang w:eastAsia="en-US"/>
              </w:rPr>
            </w:pPr>
            <w:r w:rsidRPr="00701E39">
              <w:rPr>
                <w:sz w:val="18"/>
                <w:szCs w:val="18"/>
                <w:lang w:eastAsia="en-US"/>
              </w:rPr>
              <w:t>Подготовка расчетного документа по просьбе клиента</w:t>
            </w:r>
          </w:p>
        </w:tc>
        <w:tc>
          <w:tcPr>
            <w:tcW w:w="4252" w:type="dxa"/>
          </w:tcPr>
          <w:p w:rsidR="00B52C7E" w:rsidRPr="00701E39" w:rsidRDefault="00B52C7E" w:rsidP="002B46BF">
            <w:pPr>
              <w:autoSpaceDE/>
              <w:autoSpaceDN/>
              <w:spacing w:after="120"/>
              <w:ind w:left="72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701E39">
              <w:rPr>
                <w:sz w:val="18"/>
                <w:szCs w:val="18"/>
                <w:lang w:eastAsia="en-US"/>
              </w:rPr>
              <w:t xml:space="preserve">0 руб. </w:t>
            </w:r>
            <w:proofErr w:type="gramStart"/>
            <w:r w:rsidRPr="00701E39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701E39">
              <w:rPr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701E39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701E39">
              <w:rPr>
                <w:sz w:val="18"/>
                <w:szCs w:val="18"/>
                <w:lang w:eastAsia="en-US"/>
              </w:rPr>
              <w:t>. НДС) за лист</w:t>
            </w:r>
          </w:p>
        </w:tc>
      </w:tr>
    </w:tbl>
    <w:p w:rsidR="00B52C7E" w:rsidRPr="00B14759" w:rsidRDefault="00B52C7E" w:rsidP="00B52C7E">
      <w:pPr>
        <w:tabs>
          <w:tab w:val="left" w:pos="3261"/>
        </w:tabs>
        <w:ind w:firstLine="709"/>
        <w:jc w:val="both"/>
        <w:rPr>
          <w:b/>
          <w:bCs/>
          <w:sz w:val="20"/>
          <w:szCs w:val="20"/>
        </w:rPr>
      </w:pPr>
    </w:p>
    <w:p w:rsidR="00B52C7E" w:rsidRPr="00B14759" w:rsidRDefault="00B52C7E" w:rsidP="00B52C7E">
      <w:pPr>
        <w:jc w:val="both"/>
        <w:rPr>
          <w:b/>
          <w:bCs/>
          <w:sz w:val="19"/>
          <w:szCs w:val="19"/>
        </w:rPr>
      </w:pPr>
    </w:p>
    <w:p w:rsidR="00F715C3" w:rsidRDefault="00F715C3">
      <w:bookmarkStart w:id="0" w:name="_GoBack"/>
      <w:bookmarkEnd w:id="0"/>
    </w:p>
    <w:sectPr w:rsidR="00F715C3" w:rsidSect="00B52C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7E" w:rsidRDefault="00B52C7E" w:rsidP="00B52C7E">
      <w:r>
        <w:separator/>
      </w:r>
    </w:p>
  </w:endnote>
  <w:endnote w:type="continuationSeparator" w:id="0">
    <w:p w:rsidR="00B52C7E" w:rsidRDefault="00B52C7E" w:rsidP="00B5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7E" w:rsidRDefault="00B52C7E" w:rsidP="00B52C7E">
      <w:r>
        <w:separator/>
      </w:r>
    </w:p>
  </w:footnote>
  <w:footnote w:type="continuationSeparator" w:id="0">
    <w:p w:rsidR="00B52C7E" w:rsidRDefault="00B52C7E" w:rsidP="00B52C7E">
      <w:r>
        <w:continuationSeparator/>
      </w:r>
    </w:p>
  </w:footnote>
  <w:footnote w:id="1">
    <w:p w:rsidR="00B52C7E" w:rsidRDefault="00B52C7E" w:rsidP="00B52C7E">
      <w:pPr>
        <w:pStyle w:val="a3"/>
        <w:spacing w:line="20" w:lineRule="atLeast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Плата за операции по счетам типа «Т», «И», «К», «Н» нерезидентов не взимается</w:t>
      </w:r>
    </w:p>
  </w:footnote>
  <w:footnote w:id="2">
    <w:p w:rsidR="00B52C7E" w:rsidRPr="00BC4130" w:rsidRDefault="00B52C7E" w:rsidP="00B52C7E">
      <w:pPr>
        <w:pStyle w:val="a3"/>
        <w:spacing w:line="20" w:lineRule="atLeast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C4130">
        <w:rPr>
          <w:sz w:val="16"/>
          <w:szCs w:val="16"/>
        </w:rPr>
        <w:t>При отсутствии по счету клиента операций в течение шести месяцев (в расчет не включаются комиссии и проценты, уплачиваемые Банку, а также проценты, причисленные к остатку средств на счете, возврат сумм излишне списанных/начисленных комиссий и процентов, списание со счета средств, зачисленных по ошибке банка), а также отсутствии прекращения в указанный период всех расходных операций по счету клиента по решению уполномоченного</w:t>
      </w:r>
      <w:proofErr w:type="gramEnd"/>
      <w:r w:rsidRPr="00BC4130">
        <w:rPr>
          <w:sz w:val="16"/>
          <w:szCs w:val="16"/>
        </w:rPr>
        <w:t xml:space="preserve"> государственного органа плата взимается в установленном размере, но не </w:t>
      </w:r>
      <w:proofErr w:type="gramStart"/>
      <w:r w:rsidRPr="00BC4130">
        <w:rPr>
          <w:sz w:val="16"/>
          <w:szCs w:val="16"/>
        </w:rPr>
        <w:t>более фактического</w:t>
      </w:r>
      <w:proofErr w:type="gramEnd"/>
      <w:r w:rsidRPr="00BC4130">
        <w:rPr>
          <w:sz w:val="16"/>
          <w:szCs w:val="16"/>
        </w:rPr>
        <w:t xml:space="preserve"> остатка на счете на дату списания комиссии.</w:t>
      </w:r>
    </w:p>
    <w:p w:rsidR="00B52C7E" w:rsidRPr="00BC4130" w:rsidRDefault="00B52C7E" w:rsidP="00B52C7E">
      <w:pPr>
        <w:pStyle w:val="a3"/>
        <w:spacing w:line="20" w:lineRule="atLeast"/>
        <w:jc w:val="both"/>
        <w:rPr>
          <w:sz w:val="16"/>
          <w:szCs w:val="16"/>
        </w:rPr>
      </w:pPr>
      <w:r w:rsidRPr="00BC4130">
        <w:rPr>
          <w:sz w:val="16"/>
          <w:szCs w:val="16"/>
        </w:rPr>
        <w:t xml:space="preserve">Плата не взимается: </w:t>
      </w:r>
    </w:p>
    <w:p w:rsidR="00B52C7E" w:rsidRPr="00BC4130" w:rsidRDefault="00B52C7E" w:rsidP="00B52C7E">
      <w:pPr>
        <w:pStyle w:val="a3"/>
        <w:spacing w:line="20" w:lineRule="atLeast"/>
        <w:jc w:val="both"/>
        <w:rPr>
          <w:sz w:val="16"/>
          <w:szCs w:val="16"/>
        </w:rPr>
      </w:pPr>
      <w:r w:rsidRPr="00BC4130">
        <w:rPr>
          <w:sz w:val="16"/>
          <w:szCs w:val="16"/>
        </w:rPr>
        <w:t>- при отсутствии операций по счету до шести месяцев (в расчет не включаются комиссии и проценты, уплачиваемые банку, а также проценты, причисленные к остатку средств на счете, возврат сумм излишне списанных/начисленных комиссий и процентов, списание со счета средств, зачисленных по ошибке Банка);</w:t>
      </w:r>
    </w:p>
    <w:p w:rsidR="00B52C7E" w:rsidRPr="00BC4130" w:rsidRDefault="00B52C7E" w:rsidP="00B52C7E">
      <w:pPr>
        <w:pStyle w:val="a3"/>
        <w:spacing w:line="20" w:lineRule="atLeast"/>
        <w:jc w:val="both"/>
        <w:rPr>
          <w:sz w:val="16"/>
          <w:szCs w:val="16"/>
        </w:rPr>
      </w:pPr>
      <w:r w:rsidRPr="00BC4130">
        <w:rPr>
          <w:sz w:val="16"/>
          <w:szCs w:val="16"/>
        </w:rPr>
        <w:t>- за неполный месяц обслуживания;</w:t>
      </w:r>
    </w:p>
    <w:p w:rsidR="00B52C7E" w:rsidRDefault="00B52C7E" w:rsidP="00B52C7E">
      <w:pPr>
        <w:pStyle w:val="a3"/>
        <w:spacing w:line="20" w:lineRule="atLeast"/>
        <w:jc w:val="both"/>
      </w:pPr>
      <w:r w:rsidRPr="00BC4130">
        <w:rPr>
          <w:sz w:val="16"/>
          <w:szCs w:val="16"/>
        </w:rPr>
        <w:t>- при прекращении всех расходных операций по счету клиента по решению уполномоченного государственного органа на дату списания комиссии"</w:t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  <w:r w:rsidRPr="00BC4130">
        <w:rPr>
          <w:sz w:val="16"/>
          <w:szCs w:val="16"/>
        </w:rPr>
        <w:tab/>
      </w:r>
    </w:p>
  </w:footnote>
  <w:footnote w:id="3">
    <w:p w:rsidR="00B52C7E" w:rsidRDefault="00B52C7E" w:rsidP="00B52C7E">
      <w:pPr>
        <w:pStyle w:val="a3"/>
        <w:jc w:val="both"/>
      </w:pPr>
      <w:r w:rsidRPr="00BC332F">
        <w:rPr>
          <w:rStyle w:val="a5"/>
          <w:sz w:val="16"/>
          <w:szCs w:val="16"/>
        </w:rPr>
        <w:footnoteRef/>
      </w:r>
      <w:r w:rsidRPr="00BC332F">
        <w:rPr>
          <w:sz w:val="16"/>
          <w:szCs w:val="16"/>
        </w:rPr>
        <w:t xml:space="preserve"> Если это не связано с ошибкой Банка или изменением нормативных правовых актов</w:t>
      </w:r>
    </w:p>
  </w:footnote>
  <w:footnote w:id="4">
    <w:p w:rsidR="00B52C7E" w:rsidRDefault="00B52C7E" w:rsidP="00B52C7E">
      <w:pPr>
        <w:pStyle w:val="a3"/>
        <w:jc w:val="both"/>
      </w:pPr>
      <w:r w:rsidRPr="00E378FD">
        <w:rPr>
          <w:rStyle w:val="a5"/>
          <w:sz w:val="16"/>
          <w:szCs w:val="16"/>
        </w:rPr>
        <w:footnoteRef/>
      </w:r>
      <w:r w:rsidRPr="00E378FD">
        <w:rPr>
          <w:sz w:val="16"/>
          <w:szCs w:val="16"/>
        </w:rPr>
        <w:t xml:space="preserve"> Без учета комиссии других банков (комиссия взимается с клиента только в том случае, если ошибка произошла не по вине Банка)</w:t>
      </w:r>
    </w:p>
  </w:footnote>
  <w:footnote w:id="5">
    <w:p w:rsidR="00B52C7E" w:rsidRDefault="00B52C7E" w:rsidP="00B52C7E">
      <w:pPr>
        <w:pStyle w:val="a3"/>
        <w:jc w:val="both"/>
      </w:pPr>
      <w:r w:rsidRPr="00F74D64">
        <w:rPr>
          <w:rStyle w:val="a5"/>
          <w:sz w:val="16"/>
          <w:szCs w:val="16"/>
        </w:rPr>
        <w:footnoteRef/>
      </w:r>
      <w:r w:rsidRPr="00F74D64">
        <w:rPr>
          <w:sz w:val="16"/>
          <w:szCs w:val="16"/>
        </w:rPr>
        <w:t xml:space="preserve"> Платежное поручение, платежное требование, инкассовое поручение, оплачиваемое без распоряжения клиента в соответствии с условиями договора банковского счета</w:t>
      </w:r>
    </w:p>
  </w:footnote>
  <w:footnote w:id="6">
    <w:p w:rsidR="00B52C7E" w:rsidRDefault="00B52C7E" w:rsidP="00B52C7E">
      <w:pPr>
        <w:pStyle w:val="a3"/>
        <w:jc w:val="both"/>
      </w:pPr>
      <w:r w:rsidRPr="00F74D64">
        <w:rPr>
          <w:rStyle w:val="a5"/>
          <w:sz w:val="16"/>
          <w:szCs w:val="16"/>
        </w:rPr>
        <w:footnoteRef/>
      </w:r>
      <w:r w:rsidRPr="00F74D64">
        <w:rPr>
          <w:sz w:val="16"/>
          <w:szCs w:val="16"/>
        </w:rPr>
        <w:t xml:space="preserve"> Электронный документооборот – платежные документы, направленные в банк по электронным каналам связи либо представленные на электронном носителе</w:t>
      </w:r>
    </w:p>
  </w:footnote>
  <w:footnote w:id="7">
    <w:p w:rsidR="00B52C7E" w:rsidRDefault="00B52C7E" w:rsidP="00B52C7E">
      <w:pPr>
        <w:pStyle w:val="a3"/>
        <w:jc w:val="both"/>
      </w:pPr>
      <w:r w:rsidRPr="00F74D64">
        <w:rPr>
          <w:rStyle w:val="a5"/>
          <w:sz w:val="16"/>
          <w:szCs w:val="16"/>
        </w:rPr>
        <w:footnoteRef/>
      </w:r>
      <w:r w:rsidRPr="00F74D64">
        <w:rPr>
          <w:sz w:val="16"/>
          <w:szCs w:val="16"/>
        </w:rPr>
        <w:t xml:space="preserve"> В том числе при перечислениях внутри одного структурного подразделения</w:t>
      </w:r>
    </w:p>
  </w:footnote>
  <w:footnote w:id="8">
    <w:p w:rsidR="00B52C7E" w:rsidRDefault="00B52C7E" w:rsidP="00B52C7E">
      <w:pPr>
        <w:pStyle w:val="a3"/>
        <w:jc w:val="both"/>
      </w:pPr>
      <w:r w:rsidRPr="00F74D64">
        <w:rPr>
          <w:rStyle w:val="a5"/>
          <w:sz w:val="16"/>
          <w:szCs w:val="16"/>
        </w:rPr>
        <w:footnoteRef/>
      </w:r>
      <w:r w:rsidRPr="00F74D64">
        <w:rPr>
          <w:sz w:val="16"/>
          <w:szCs w:val="16"/>
        </w:rPr>
        <w:t xml:space="preserve"> Электронный документооборот – платежные документы, направленные в банк по электронным каналам связи либо представленные на электронном носителе</w:t>
      </w:r>
    </w:p>
  </w:footnote>
  <w:footnote w:id="9">
    <w:p w:rsidR="00B52C7E" w:rsidRDefault="00B52C7E" w:rsidP="00B52C7E">
      <w:pPr>
        <w:pStyle w:val="a3"/>
        <w:jc w:val="both"/>
      </w:pPr>
      <w:r w:rsidRPr="00F74D64">
        <w:rPr>
          <w:rStyle w:val="a5"/>
          <w:sz w:val="16"/>
          <w:szCs w:val="16"/>
        </w:rPr>
        <w:footnoteRef/>
      </w:r>
      <w:r w:rsidRPr="00F74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Платежное поручение, платежное требование, инкассовое поручение, оплачиваемое без распоряжения клиента в соответствии с условиями </w:t>
      </w:r>
      <w:r w:rsidRPr="00FF4CB9">
        <w:rPr>
          <w:sz w:val="16"/>
          <w:szCs w:val="16"/>
        </w:rPr>
        <w:t>договора банковского счета</w:t>
      </w:r>
    </w:p>
  </w:footnote>
  <w:footnote w:id="10">
    <w:p w:rsidR="00B52C7E" w:rsidRDefault="00B52C7E" w:rsidP="00B52C7E">
      <w:pPr>
        <w:pStyle w:val="a3"/>
        <w:jc w:val="both"/>
      </w:pPr>
      <w:r w:rsidRPr="00FF4CB9">
        <w:rPr>
          <w:rStyle w:val="a5"/>
          <w:sz w:val="16"/>
          <w:szCs w:val="16"/>
        </w:rPr>
        <w:footnoteRef/>
      </w:r>
      <w:r w:rsidRPr="00FF4CB9">
        <w:rPr>
          <w:sz w:val="16"/>
          <w:szCs w:val="16"/>
        </w:rPr>
        <w:t xml:space="preserve"> При отзыве расчетного документа комиссия не возвращается</w:t>
      </w:r>
    </w:p>
  </w:footnote>
  <w:footnote w:id="11">
    <w:p w:rsidR="00B52C7E" w:rsidRPr="00AD7592" w:rsidRDefault="00B52C7E" w:rsidP="00B52C7E">
      <w:pPr>
        <w:pStyle w:val="a3"/>
        <w:jc w:val="both"/>
        <w:rPr>
          <w:sz w:val="16"/>
          <w:szCs w:val="16"/>
        </w:rPr>
      </w:pPr>
      <w:r w:rsidRPr="00AD7592">
        <w:rPr>
          <w:rStyle w:val="a5"/>
          <w:sz w:val="16"/>
          <w:szCs w:val="16"/>
        </w:rPr>
        <w:footnoteRef/>
      </w:r>
      <w:r w:rsidRPr="00AD7592">
        <w:rPr>
          <w:sz w:val="16"/>
          <w:szCs w:val="16"/>
        </w:rPr>
        <w:t xml:space="preserve"> а) По операциям, связанным с возвратом ошибочно зачисленных или списанных сумм, тариф за исполнение функций агента валютного </w:t>
      </w:r>
      <w:r w:rsidRPr="00AD7592">
        <w:rPr>
          <w:sz w:val="16"/>
          <w:szCs w:val="16"/>
          <w:u w:val="single"/>
        </w:rPr>
        <w:t>контроля не взимается</w:t>
      </w:r>
      <w:r w:rsidRPr="00AD7592">
        <w:rPr>
          <w:sz w:val="16"/>
          <w:szCs w:val="16"/>
        </w:rPr>
        <w:t>.</w:t>
      </w:r>
    </w:p>
    <w:p w:rsidR="00B52C7E" w:rsidRPr="00AD7592" w:rsidRDefault="00B52C7E" w:rsidP="00B52C7E">
      <w:pPr>
        <w:pStyle w:val="a3"/>
        <w:jc w:val="both"/>
        <w:rPr>
          <w:sz w:val="16"/>
          <w:szCs w:val="16"/>
        </w:rPr>
      </w:pPr>
      <w:r w:rsidRPr="00AD7592">
        <w:rPr>
          <w:sz w:val="16"/>
          <w:szCs w:val="16"/>
        </w:rPr>
        <w:t>б) По операциям в иностранной валюте, отличной от долларов США или евро, а также по операциям в валюте РФ минимальные границы тарифа, указанные в абсолютных величинах, рассчитываются от эквивалента суммы в долларах США по курсу Банка России на день начисления комиссии.</w:t>
      </w:r>
    </w:p>
    <w:p w:rsidR="00B52C7E" w:rsidRDefault="00B52C7E" w:rsidP="00B52C7E">
      <w:pPr>
        <w:pStyle w:val="a3"/>
        <w:jc w:val="both"/>
      </w:pPr>
      <w:r w:rsidRPr="00AD7592">
        <w:rPr>
          <w:sz w:val="16"/>
          <w:szCs w:val="16"/>
        </w:rPr>
        <w:t>в) В случае перевода (зачисления) денежных средств общей суммой по нескольким контрактам (договорам) расчет тарифа производится по каждому контракту (договору).</w:t>
      </w:r>
    </w:p>
  </w:footnote>
  <w:footnote w:id="12">
    <w:p w:rsidR="00B52C7E" w:rsidRDefault="00B52C7E" w:rsidP="00B52C7E">
      <w:pPr>
        <w:pStyle w:val="a3"/>
        <w:jc w:val="both"/>
      </w:pPr>
      <w:r w:rsidRPr="003028EE">
        <w:rPr>
          <w:rStyle w:val="a5"/>
          <w:sz w:val="16"/>
          <w:szCs w:val="16"/>
        </w:rPr>
        <w:footnoteRef/>
      </w:r>
      <w:r w:rsidRPr="003028EE">
        <w:rPr>
          <w:sz w:val="16"/>
          <w:szCs w:val="16"/>
        </w:rPr>
        <w:t xml:space="preserve"> </w:t>
      </w:r>
      <w:proofErr w:type="gramStart"/>
      <w:r w:rsidRPr="003028EE">
        <w:rPr>
          <w:sz w:val="16"/>
          <w:szCs w:val="16"/>
        </w:rPr>
        <w:t>Тариф</w:t>
      </w:r>
      <w:proofErr w:type="gramEnd"/>
      <w:r w:rsidRPr="003028EE">
        <w:rPr>
          <w:sz w:val="16"/>
          <w:szCs w:val="16"/>
        </w:rPr>
        <w:t xml:space="preserve"> в том числе применяется при использовании резидентом аккредитивной формы расчетов, при осуществлении валютной операции через счет резидента, открытый в банке-нерезиденте, а также при осуществлении валютной операции через счет третьего лица и подлежащих учету в Ведомости банковского контроля в соответствии с представленной резидентом Справкой о валютных операциях.</w:t>
      </w:r>
    </w:p>
  </w:footnote>
  <w:footnote w:id="13">
    <w:p w:rsidR="00B52C7E" w:rsidRDefault="00B52C7E" w:rsidP="00B52C7E">
      <w:pPr>
        <w:pStyle w:val="a3"/>
        <w:jc w:val="both"/>
      </w:pPr>
      <w:r w:rsidRPr="003028EE">
        <w:rPr>
          <w:rStyle w:val="a5"/>
          <w:sz w:val="16"/>
          <w:szCs w:val="16"/>
        </w:rPr>
        <w:footnoteRef/>
      </w:r>
      <w:r w:rsidRPr="003028EE">
        <w:rPr>
          <w:sz w:val="16"/>
          <w:szCs w:val="16"/>
        </w:rPr>
        <w:t xml:space="preserve"> Применяется в  случае совершения операции, соответствующей критериям и содержащей признаки необычной сделки в соответствии с Федеральным законом «О противодействии легализации (отмыванию) доходов, полученных преступным путем, и финансирования терроризма» от 07.08.2001 №115-ФЗ.</w:t>
      </w:r>
    </w:p>
  </w:footnote>
  <w:footnote w:id="14">
    <w:p w:rsidR="00B52C7E" w:rsidRDefault="00B52C7E" w:rsidP="00B52C7E">
      <w:pPr>
        <w:pStyle w:val="a3"/>
        <w:jc w:val="both"/>
      </w:pPr>
      <w:r w:rsidRPr="003028EE">
        <w:rPr>
          <w:rStyle w:val="a5"/>
          <w:sz w:val="16"/>
          <w:szCs w:val="16"/>
        </w:rPr>
        <w:footnoteRef/>
      </w:r>
      <w:r w:rsidRPr="003028EE">
        <w:rPr>
          <w:sz w:val="16"/>
          <w:szCs w:val="16"/>
        </w:rPr>
        <w:t xml:space="preserve"> Применяется в  случае совершения операции, соответствующей критериям и содержащей признаки необычной сделки в соответствии с Федеральным законом «О противодействии легализации (отмыванию) доходов, полученных преступным путем, и финансирования терроризма» от 07.08.2001 №115-ФЗ.</w:t>
      </w:r>
    </w:p>
  </w:footnote>
  <w:footnote w:id="15">
    <w:p w:rsidR="00B52C7E" w:rsidRDefault="00B52C7E" w:rsidP="00B52C7E">
      <w:pPr>
        <w:pStyle w:val="a3"/>
        <w:jc w:val="both"/>
      </w:pPr>
      <w:r w:rsidRPr="00525400">
        <w:rPr>
          <w:rStyle w:val="a5"/>
          <w:sz w:val="16"/>
          <w:szCs w:val="16"/>
        </w:rPr>
        <w:footnoteRef/>
      </w:r>
      <w:r w:rsidRPr="00525400">
        <w:rPr>
          <w:sz w:val="16"/>
          <w:szCs w:val="16"/>
        </w:rPr>
        <w:t xml:space="preserve"> </w:t>
      </w:r>
      <w:proofErr w:type="gramStart"/>
      <w:r w:rsidRPr="00525400">
        <w:rPr>
          <w:sz w:val="16"/>
          <w:szCs w:val="16"/>
        </w:rPr>
        <w:t>Тариф</w:t>
      </w:r>
      <w:proofErr w:type="gramEnd"/>
      <w:r w:rsidRPr="00525400">
        <w:rPr>
          <w:sz w:val="16"/>
          <w:szCs w:val="16"/>
        </w:rPr>
        <w:t xml:space="preserve"> в том числе применяется при использовании резидентом аккредитивной формы расчетов, при осуществлении валютной операции через счет резидента, открытый в банке-нерезиденте, а также при осуществлении валютной операции через счет третьего лица и подлежащих учету в Ведомости банковского контроля в соответствии с представленной резидентом Справкой о валютных операциях.</w:t>
      </w:r>
    </w:p>
  </w:footnote>
  <w:footnote w:id="16">
    <w:p w:rsidR="00B52C7E" w:rsidRDefault="00B52C7E" w:rsidP="00B52C7E">
      <w:pPr>
        <w:pStyle w:val="a3"/>
        <w:jc w:val="both"/>
      </w:pPr>
      <w:r w:rsidRPr="00525400">
        <w:rPr>
          <w:rStyle w:val="a5"/>
          <w:sz w:val="16"/>
          <w:szCs w:val="16"/>
        </w:rPr>
        <w:footnoteRef/>
      </w:r>
      <w:r w:rsidRPr="00525400">
        <w:rPr>
          <w:sz w:val="16"/>
          <w:szCs w:val="16"/>
        </w:rPr>
        <w:t xml:space="preserve"> </w:t>
      </w:r>
      <w:proofErr w:type="gramStart"/>
      <w:r w:rsidRPr="00525400">
        <w:rPr>
          <w:sz w:val="16"/>
          <w:szCs w:val="16"/>
        </w:rPr>
        <w:t>Тариф применяется в случае, если банк направляет клиенту извещение о поступлении на его счет средств от нерезидента и необходимости представления в банк документов, связанных с проведением валютных операций (извещения направляются по операциям, по которым Банк не располагает информацией о характере проведенной операции и сумма поступивших (зачисленных) денежных средств превышает 100 тысяч рублей).</w:t>
      </w:r>
      <w:proofErr w:type="gramEnd"/>
      <w:r w:rsidRPr="00525400">
        <w:rPr>
          <w:sz w:val="16"/>
          <w:szCs w:val="16"/>
        </w:rPr>
        <w:t xml:space="preserve"> Тариф взимается после представления в банк документов, связанных с проведением валютных операций.</w:t>
      </w:r>
    </w:p>
  </w:footnote>
  <w:footnote w:id="17">
    <w:p w:rsidR="00B52C7E" w:rsidRDefault="00B52C7E" w:rsidP="00B52C7E">
      <w:pPr>
        <w:pStyle w:val="a3"/>
        <w:jc w:val="both"/>
      </w:pPr>
      <w:r w:rsidRPr="007F1027">
        <w:rPr>
          <w:rStyle w:val="a5"/>
          <w:sz w:val="16"/>
          <w:szCs w:val="16"/>
        </w:rPr>
        <w:footnoteRef/>
      </w:r>
      <w:r w:rsidRPr="007F1027">
        <w:rPr>
          <w:sz w:val="16"/>
          <w:szCs w:val="16"/>
        </w:rPr>
        <w:t xml:space="preserve"> Тариф не применяется по операциям с уполномоченными банками, уплате налогов и пошлин, а также при переводе нерезидентом сре</w:t>
      </w:r>
      <w:proofErr w:type="gramStart"/>
      <w:r w:rsidRPr="007F1027">
        <w:rPr>
          <w:sz w:val="16"/>
          <w:szCs w:val="16"/>
        </w:rPr>
        <w:t>дств с р</w:t>
      </w:r>
      <w:proofErr w:type="gramEnd"/>
      <w:r w:rsidRPr="007F1027">
        <w:rPr>
          <w:sz w:val="16"/>
          <w:szCs w:val="16"/>
        </w:rPr>
        <w:t>асчетного сета (счета по депозиту) на его расчетный счет (счет по депозиту) в уполномоченном банке.</w:t>
      </w:r>
    </w:p>
  </w:footnote>
  <w:footnote w:id="18">
    <w:p w:rsidR="00B52C7E" w:rsidRDefault="00B52C7E" w:rsidP="00B52C7E">
      <w:pPr>
        <w:pStyle w:val="a3"/>
        <w:jc w:val="both"/>
      </w:pPr>
      <w:r w:rsidRPr="007F1027">
        <w:rPr>
          <w:rStyle w:val="a5"/>
          <w:sz w:val="16"/>
          <w:szCs w:val="16"/>
        </w:rPr>
        <w:footnoteRef/>
      </w:r>
      <w:r w:rsidRPr="007F1027">
        <w:rPr>
          <w:sz w:val="16"/>
          <w:szCs w:val="16"/>
        </w:rPr>
        <w:t xml:space="preserve"> Тариф применяется в случае перевода контракта (договора), по которому оформлен Паспорт сделки, на обслуживание в другой уполномоченный банк</w:t>
      </w:r>
    </w:p>
  </w:footnote>
  <w:footnote w:id="19">
    <w:p w:rsidR="00B52C7E" w:rsidRDefault="00B52C7E" w:rsidP="00B52C7E">
      <w:pPr>
        <w:pStyle w:val="a3"/>
        <w:jc w:val="both"/>
      </w:pPr>
      <w:r w:rsidRPr="007F1027">
        <w:rPr>
          <w:rStyle w:val="a5"/>
          <w:sz w:val="16"/>
          <w:szCs w:val="16"/>
        </w:rPr>
        <w:footnoteRef/>
      </w:r>
      <w:r w:rsidRPr="007F1027">
        <w:rPr>
          <w:sz w:val="16"/>
          <w:szCs w:val="16"/>
        </w:rPr>
        <w:t xml:space="preserve"> Тариф рассчитывается от разницы между суммой всех документов, подтверждающих отгрузку/поставку товаров, выполнение работ, оказание услуг, передачу информации и результатов интеллектуальной деятельности, в том числе исключительных прав на них, представленных в банк со Справкой о подтверждающих документах, и суммой всех платежей, учтенных в Ведомости банковского контроля</w:t>
      </w:r>
    </w:p>
  </w:footnote>
  <w:footnote w:id="20">
    <w:p w:rsidR="00B52C7E" w:rsidRDefault="00B52C7E" w:rsidP="00B52C7E">
      <w:pPr>
        <w:pStyle w:val="a3"/>
        <w:jc w:val="both"/>
      </w:pPr>
      <w:r w:rsidRPr="00753F83">
        <w:rPr>
          <w:rStyle w:val="a5"/>
          <w:sz w:val="16"/>
          <w:szCs w:val="16"/>
        </w:rPr>
        <w:footnoteRef/>
      </w:r>
      <w:r w:rsidRPr="00753F83">
        <w:rPr>
          <w:sz w:val="16"/>
          <w:szCs w:val="16"/>
        </w:rPr>
        <w:t xml:space="preserve"> Всех неоплаченных документов, подтверждающих отгрузку/поставку товаров, выполнение работ, оказание услуг, передачу информации и результатов интеллектуальной деятельности, в том числе исключительных прав на них, представленных в банк со Справкой о подтверждающих документах</w:t>
      </w:r>
    </w:p>
  </w:footnote>
  <w:footnote w:id="21">
    <w:p w:rsidR="00B52C7E" w:rsidRDefault="00B52C7E" w:rsidP="00B52C7E">
      <w:pPr>
        <w:pStyle w:val="a3"/>
        <w:jc w:val="both"/>
      </w:pPr>
      <w:r w:rsidRPr="00AA5A94">
        <w:rPr>
          <w:rStyle w:val="a5"/>
          <w:sz w:val="16"/>
          <w:szCs w:val="16"/>
        </w:rPr>
        <w:footnoteRef/>
      </w:r>
      <w:r w:rsidRPr="00AA5A94">
        <w:rPr>
          <w:sz w:val="16"/>
          <w:szCs w:val="16"/>
        </w:rPr>
        <w:t xml:space="preserve"> Услуга не применяется в случае перевода Паспорта сделки в другое структурное подразделение Сбербанка России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AE"/>
    <w:multiLevelType w:val="hybridMultilevel"/>
    <w:tmpl w:val="80FA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C0C"/>
    <w:multiLevelType w:val="hybridMultilevel"/>
    <w:tmpl w:val="31AAA83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AA24748"/>
    <w:multiLevelType w:val="hybridMultilevel"/>
    <w:tmpl w:val="2764A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E"/>
    <w:rsid w:val="00785A5A"/>
    <w:rsid w:val="00B52C7E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2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52C7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2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52C7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Екатерина Михайловна</dc:creator>
  <cp:lastModifiedBy>Михайловская Екатерина Михайловна</cp:lastModifiedBy>
  <cp:revision>2</cp:revision>
  <dcterms:created xsi:type="dcterms:W3CDTF">2014-07-17T09:43:00Z</dcterms:created>
  <dcterms:modified xsi:type="dcterms:W3CDTF">2014-07-17T09:43:00Z</dcterms:modified>
</cp:coreProperties>
</file>