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FF" w:rsidP="00955819" w:rsidRDefault="0034341D">
      <w:pPr>
        <w:spacing w:after="0" w:line="240" w:lineRule="auto"/>
        <w:jc w:val="center"/>
        <w:outlineLvl w:val="0"/>
        <w:rPr>
          <w:rFonts w:ascii="Times New Roman" w:hAnsi="Times New Roman" w:cs="Times New Roman"/>
          <w:sz w:val="24"/>
          <w:szCs w:val="24"/>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 </w:t>
      </w:r>
      <w:r w:rsidRPr="00B032FF" w:rsidR="00955819">
        <w:rPr>
          <w:rFonts w:cs="Arial"/>
          <w:szCs w:val="20"/>
          <w:lang w:eastAsia="ru-RU" w:bidi="hi-IN"/>
        </w:rPr>
        <w:fldChar w:fldCharType="separate"/>
      </w:r>
      <w:r w:rsidRPr="00B032FF" w:rsidR="00955819">
        <w:rPr>
          <w:rFonts w:cs="Arial"/>
          <w:szCs w:val="20"/>
          <w:lang w:eastAsia="ru-RU" w:bidi="hi-IN"/>
        </w:rPr>
        <w:t>РТС244Г190070</w:t>
      </w:r>
      <w:r w:rsidRPr="00B032FF" w:rsidR="00955819">
        <w:rPr>
          <w:rFonts w:cs="Arial"/>
          <w:szCs w:val="20"/>
          <w:lang w:eastAsia="ru-RU" w:bidi="hi-IN"/>
        </w:rPr>
        <w:tab/>
      </w:r>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23.01.2020</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РТС244Г190070</w:t>
            </w:r>
            <w:r w:rsidRPr="00C269F3">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+7(4942)472402</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26.12.2019 00:00 (по московскому времени)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17.01.2020 10:00 (по московскому времени)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20.01.2020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г. Кострома, ул. Советская, 9А, ОКАТО: 34401000000</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23.01.2020 09:05 (по московскому времени)</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23.01.2020 09:26 (по московскому времени)</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0"/>
            <w:bookmarkStart w:name="OLE_LINK2" w:id="1"/>
            <w:bookmarkEnd w:id="0"/>
            <w:bookmarkEnd w:id="1"/>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426 430,00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lastRenderedPageBreak/>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424 297,85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23.01.2020 09:06 (по московскому времени)</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"ХАЙТЕК ПРОЕКТ"</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4401153065</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bookmarkStart w:name="_GoBack" w:id="2"/>
      <w:bookmarkEnd w:id="2"/>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4F2" w:rsidRDefault="00FE54F2" w:rsidP="0034341D">
      <w:pPr>
        <w:spacing w:after="0" w:line="240" w:lineRule="auto"/>
      </w:pPr>
      <w:r>
        <w:separator/>
      </w:r>
    </w:p>
  </w:endnote>
  <w:endnote w:type="continuationSeparator" w:id="0">
    <w:p w:rsidR="00FE54F2" w:rsidRDefault="00FE54F2"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4F2" w:rsidRDefault="00FE54F2" w:rsidP="0034341D">
      <w:pPr>
        <w:spacing w:after="0" w:line="240" w:lineRule="auto"/>
      </w:pPr>
      <w:r>
        <w:separator/>
      </w:r>
    </w:p>
  </w:footnote>
  <w:footnote w:type="continuationSeparator" w:id="0">
    <w:p w:rsidR="00FE54F2" w:rsidRDefault="00FE54F2" w:rsidP="0034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F54EB"/>
    <w:rsid w:val="0031252D"/>
    <w:rsid w:val="0034341D"/>
    <w:rsid w:val="003A06F8"/>
    <w:rsid w:val="003B6A4B"/>
    <w:rsid w:val="004011F1"/>
    <w:rsid w:val="00402FFF"/>
    <w:rsid w:val="00424725"/>
    <w:rsid w:val="004508B9"/>
    <w:rsid w:val="004D141E"/>
    <w:rsid w:val="004F341F"/>
    <w:rsid w:val="00506A01"/>
    <w:rsid w:val="00522426"/>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622F8-C7E9-4292-8C54-6C82E260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E118-E934-4D05-B491-C5532EB0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691</Words>
  <Characters>3940</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Пользователь</cp:lastModifiedBy>
  <cp:revision>23</cp:revision>
  <dcterms:created xsi:type="dcterms:W3CDTF">2016-11-08T11:29:00Z</dcterms:created>
  <dcterms:modified xsi:type="dcterms:W3CDTF">2019-07-08T12:04:00Z</dcterms:modified>
</cp:coreProperties>
</file>